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B64FC" w14:textId="20920247" w:rsidR="001D422D" w:rsidRPr="008C76DF" w:rsidRDefault="00A8625F" w:rsidP="00A8625F">
      <w:pPr>
        <w:spacing w:before="120" w:after="12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8C76DF">
        <w:rPr>
          <w:rFonts w:asciiTheme="minorHAnsi" w:hAnsiTheme="minorHAnsi" w:cstheme="minorHAnsi"/>
          <w:b/>
          <w:noProof/>
          <w:sz w:val="22"/>
          <w:szCs w:val="22"/>
        </w:rPr>
        <w:t xml:space="preserve">Feedback by </w:t>
      </w:r>
      <w:r w:rsidR="00976EEA">
        <w:rPr>
          <w:rFonts w:asciiTheme="minorHAnsi" w:hAnsiTheme="minorHAnsi" w:cstheme="minorHAnsi"/>
          <w:b/>
          <w:noProof/>
          <w:sz w:val="22"/>
          <w:szCs w:val="22"/>
        </w:rPr>
        <w:t>t</w:t>
      </w:r>
      <w:r w:rsidRPr="008C76DF">
        <w:rPr>
          <w:rFonts w:asciiTheme="minorHAnsi" w:hAnsiTheme="minorHAnsi" w:cstheme="minorHAnsi"/>
          <w:b/>
          <w:noProof/>
          <w:sz w:val="22"/>
          <w:szCs w:val="22"/>
        </w:rPr>
        <w:t>heme</w:t>
      </w:r>
    </w:p>
    <w:tbl>
      <w:tblPr>
        <w:tblStyle w:val="TableGrid"/>
        <w:tblpPr w:leftFromText="180" w:rightFromText="180" w:vertAnchor="page" w:horzAnchor="margin" w:tblpY="2080"/>
        <w:tblW w:w="5000" w:type="pct"/>
        <w:tblLook w:val="04A0" w:firstRow="1" w:lastRow="0" w:firstColumn="1" w:lastColumn="0" w:noHBand="0" w:noVBand="1"/>
      </w:tblPr>
      <w:tblGrid>
        <w:gridCol w:w="2263"/>
        <w:gridCol w:w="6753"/>
      </w:tblGrid>
      <w:tr w:rsidR="00A8625F" w:rsidRPr="008C76DF" w14:paraId="40EF48E2" w14:textId="77777777" w:rsidTr="00521091">
        <w:trPr>
          <w:trHeight w:val="466"/>
        </w:trPr>
        <w:tc>
          <w:tcPr>
            <w:tcW w:w="1255" w:type="pct"/>
            <w:shd w:val="clear" w:color="auto" w:fill="A6A6A6" w:themeFill="background1" w:themeFillShade="A6"/>
          </w:tcPr>
          <w:p w14:paraId="6B7DEA57" w14:textId="77777777" w:rsidR="00A8625F" w:rsidRPr="008C76DF" w:rsidRDefault="00A8625F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color w:val="F2F2F2" w:themeColor="background1" w:themeShade="F2"/>
              </w:rPr>
            </w:pPr>
            <w:r w:rsidRPr="008C76DF">
              <w:rPr>
                <w:rFonts w:asciiTheme="minorHAnsi" w:hAnsiTheme="minorHAnsi" w:cstheme="minorHAnsi"/>
                <w:color w:val="F2F2F2" w:themeColor="background1" w:themeShade="F2"/>
              </w:rPr>
              <w:t>Theme</w:t>
            </w:r>
          </w:p>
        </w:tc>
        <w:tc>
          <w:tcPr>
            <w:tcW w:w="3745" w:type="pct"/>
            <w:shd w:val="clear" w:color="auto" w:fill="A6A6A6" w:themeFill="background1" w:themeFillShade="A6"/>
          </w:tcPr>
          <w:p w14:paraId="589400CB" w14:textId="77777777" w:rsidR="00A8625F" w:rsidRPr="008C76DF" w:rsidRDefault="00A8625F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color w:val="F2F2F2" w:themeColor="background1" w:themeShade="F2"/>
              </w:rPr>
            </w:pPr>
            <w:r w:rsidRPr="008C76DF">
              <w:rPr>
                <w:rFonts w:asciiTheme="minorHAnsi" w:hAnsiTheme="minorHAnsi" w:cstheme="minorHAnsi"/>
                <w:color w:val="F2F2F2" w:themeColor="background1" w:themeShade="F2"/>
              </w:rPr>
              <w:t>Details</w:t>
            </w:r>
          </w:p>
        </w:tc>
      </w:tr>
      <w:tr w:rsidR="00A8625F" w:rsidRPr="008C76DF" w14:paraId="389E5B35" w14:textId="77777777" w:rsidTr="00521091">
        <w:trPr>
          <w:trHeight w:val="1172"/>
        </w:trPr>
        <w:tc>
          <w:tcPr>
            <w:tcW w:w="1255" w:type="pct"/>
            <w:shd w:val="clear" w:color="auto" w:fill="auto"/>
          </w:tcPr>
          <w:p w14:paraId="36CBD779" w14:textId="70279728" w:rsidR="00A8625F" w:rsidRPr="00521091" w:rsidRDefault="00A8625F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521091"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Number of campsites </w:t>
            </w:r>
          </w:p>
        </w:tc>
        <w:tc>
          <w:tcPr>
            <w:tcW w:w="3745" w:type="pct"/>
            <w:shd w:val="clear" w:color="auto" w:fill="auto"/>
          </w:tcPr>
          <w:p w14:paraId="451620D6" w14:textId="4687EB01" w:rsidR="00CF774C" w:rsidRPr="008C76DF" w:rsidRDefault="00512C92" w:rsidP="0056086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Feedback was</w:t>
            </w:r>
            <w:r w:rsidR="00751815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received </w:t>
            </w:r>
            <w:r w:rsidR="00A8625F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about the </w:t>
            </w:r>
            <w:r w:rsidR="00E711A5">
              <w:rPr>
                <w:rFonts w:asciiTheme="minorHAnsi" w:hAnsiTheme="minorHAnsi" w:cstheme="minorHAnsi"/>
                <w:noProof/>
                <w:sz w:val="22"/>
                <w:szCs w:val="22"/>
              </w:rPr>
              <w:t>impact</w:t>
            </w:r>
            <w:r w:rsidR="00A8625F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751815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on the number of campsites</w:t>
            </w:r>
            <w:r w:rsidR="002977E0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avai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l</w:t>
            </w:r>
            <w:r w:rsidR="002977E0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able</w:t>
            </w:r>
            <w:r w:rsidR="00E711A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at the </w:t>
            </w:r>
            <w:r w:rsidR="004B39CF">
              <w:rPr>
                <w:rFonts w:asciiTheme="minorHAnsi" w:hAnsiTheme="minorHAnsi" w:cstheme="minorHAnsi"/>
                <w:noProof/>
                <w:sz w:val="22"/>
                <w:szCs w:val="22"/>
              </w:rPr>
              <w:t>n</w:t>
            </w:r>
            <w:r w:rsidR="00E711A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ational </w:t>
            </w:r>
            <w:r w:rsidR="004B39CF">
              <w:rPr>
                <w:rFonts w:asciiTheme="minorHAnsi" w:hAnsiTheme="minorHAnsi" w:cstheme="minorHAnsi"/>
                <w:noProof/>
                <w:sz w:val="22"/>
                <w:szCs w:val="22"/>
              </w:rPr>
              <w:t>p</w:t>
            </w:r>
            <w:r w:rsidR="00E711A5">
              <w:rPr>
                <w:rFonts w:asciiTheme="minorHAnsi" w:hAnsiTheme="minorHAnsi" w:cstheme="minorHAnsi"/>
                <w:noProof/>
                <w:sz w:val="22"/>
                <w:szCs w:val="22"/>
              </w:rPr>
              <w:t>ark and any potential reduction of</w:t>
            </w:r>
            <w:r w:rsidR="00E711A5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‘general’ camping sites available</w:t>
            </w:r>
            <w:r w:rsidR="00751815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  <w:r w:rsidR="00A8625F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CF69073" w14:textId="14F9780E" w:rsidR="00BC3F09" w:rsidRPr="008C76DF" w:rsidRDefault="00E711A5" w:rsidP="0056086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creation of </w:t>
            </w:r>
            <w:r w:rsidR="00BC3F09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new sites </w:t>
            </w:r>
            <w:r w:rsidR="00BF2B31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for glamping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was support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ed</w:t>
            </w:r>
            <w:r w:rsidR="00BF2B31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, to avoid use of existing sites</w:t>
            </w:r>
            <w:r w:rsidR="00BC3F09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     </w:t>
            </w:r>
          </w:p>
          <w:p w14:paraId="5A9E7640" w14:textId="3D33D48C" w:rsidR="00DA55DE" w:rsidRDefault="008C76DF" w:rsidP="0056086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proposal involves using </w:t>
            </w:r>
            <w:r w:rsidR="00F87344">
              <w:rPr>
                <w:rFonts w:asciiTheme="minorHAnsi" w:hAnsiTheme="minorHAnsi" w:cstheme="minorHAnsi"/>
                <w:noProof/>
                <w:sz w:val="22"/>
                <w:szCs w:val="22"/>
              </w:rPr>
              <w:t>three</w:t>
            </w:r>
            <w:r w:rsidR="00E711A5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the park’s existing 94 </w:t>
            </w:r>
            <w:r w:rsidR="0074154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campsites </w:t>
            </w:r>
            <w:r w:rsidR="00E711A5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for year</w:t>
            </w:r>
            <w:r w:rsidR="00F87344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E711A5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round glamping purposes</w:t>
            </w:r>
            <w:r w:rsidR="0074154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This includes </w:t>
            </w:r>
            <w:r w:rsidR="00F87344">
              <w:rPr>
                <w:rFonts w:asciiTheme="minorHAnsi" w:hAnsiTheme="minorHAnsi" w:cstheme="minorHAnsi"/>
                <w:noProof/>
                <w:sz w:val="22"/>
                <w:szCs w:val="22"/>
              </w:rPr>
              <w:t>two</w:t>
            </w:r>
            <w:r w:rsidR="008500F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74154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sites at </w:t>
            </w:r>
            <w:r w:rsidR="008500F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September </w:t>
            </w:r>
            <w:r w:rsidR="00CD284A">
              <w:rPr>
                <w:rFonts w:asciiTheme="minorHAnsi" w:hAnsiTheme="minorHAnsi" w:cstheme="minorHAnsi"/>
                <w:noProof/>
                <w:sz w:val="22"/>
                <w:szCs w:val="22"/>
              </w:rPr>
              <w:t>B</w:t>
            </w:r>
            <w:r w:rsidR="008500F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each and </w:t>
            </w:r>
            <w:r w:rsidR="00F87344">
              <w:rPr>
                <w:rFonts w:asciiTheme="minorHAnsi" w:hAnsiTheme="minorHAnsi" w:cstheme="minorHAnsi"/>
                <w:noProof/>
                <w:sz w:val="22"/>
                <w:szCs w:val="22"/>
              </w:rPr>
              <w:t>one</w:t>
            </w:r>
            <w:r w:rsidR="00CD284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741542">
              <w:rPr>
                <w:rFonts w:asciiTheme="minorHAnsi" w:hAnsiTheme="minorHAnsi" w:cstheme="minorHAnsi"/>
                <w:noProof/>
                <w:sz w:val="22"/>
                <w:szCs w:val="22"/>
              </w:rPr>
              <w:t>site</w:t>
            </w:r>
            <w:r w:rsidR="008500F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at Donington Beach</w:t>
            </w:r>
            <w:r w:rsidR="00741542"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="00BC3F09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E711A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while </w:t>
            </w:r>
            <w:r w:rsidR="008500FF">
              <w:rPr>
                <w:rFonts w:asciiTheme="minorHAnsi" w:hAnsiTheme="minorHAnsi" w:cstheme="minorHAnsi"/>
                <w:noProof/>
                <w:sz w:val="22"/>
                <w:szCs w:val="22"/>
              </w:rPr>
              <w:t>creating</w:t>
            </w:r>
            <w:r w:rsidR="002977E0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BC3F09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new </w:t>
            </w:r>
            <w:r w:rsidR="00E711A5">
              <w:rPr>
                <w:rFonts w:asciiTheme="minorHAnsi" w:hAnsiTheme="minorHAnsi" w:cstheme="minorHAnsi"/>
                <w:noProof/>
                <w:sz w:val="22"/>
                <w:szCs w:val="22"/>
              </w:rPr>
              <w:t>glamping</w:t>
            </w:r>
            <w:r w:rsidR="00BC3F09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sites </w:t>
            </w:r>
            <w:r w:rsidR="002977E0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at </w:t>
            </w:r>
            <w:r w:rsidR="00BC3F09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Donington Beach </w:t>
            </w:r>
            <w:r w:rsidR="00741542">
              <w:rPr>
                <w:rFonts w:asciiTheme="minorHAnsi" w:hAnsiTheme="minorHAnsi" w:cstheme="minorHAnsi"/>
                <w:noProof/>
                <w:sz w:val="22"/>
                <w:szCs w:val="22"/>
              </w:rPr>
              <w:t>C</w:t>
            </w:r>
            <w:r w:rsidR="00BC3F09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ampsite. </w:t>
            </w:r>
          </w:p>
          <w:p w14:paraId="1A107C66" w14:textId="086DC778" w:rsidR="00BC3F09" w:rsidRPr="008C76DF" w:rsidRDefault="00DA55DE" w:rsidP="0056086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</w:t>
            </w:r>
            <w:r w:rsidR="0074154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he </w:t>
            </w:r>
            <w:r w:rsidR="00E711A5">
              <w:rPr>
                <w:rFonts w:asciiTheme="minorHAnsi" w:hAnsiTheme="minorHAnsi" w:cstheme="minorHAnsi"/>
                <w:noProof/>
                <w:sz w:val="22"/>
                <w:szCs w:val="22"/>
              </w:rPr>
              <w:t>proposal will affect</w:t>
            </w:r>
            <w:r w:rsidR="00E711A5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3</w:t>
            </w:r>
            <w:r w:rsidR="00976EE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per cent</w:t>
            </w:r>
            <w:r w:rsidR="00E711A5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the park’s total number of current sites.</w:t>
            </w:r>
          </w:p>
          <w:p w14:paraId="0512C7BF" w14:textId="7689FA71" w:rsidR="00DA55DE" w:rsidRDefault="00E711A5" w:rsidP="0056086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The camp</w:t>
            </w:r>
            <w:r w:rsidR="008336FB">
              <w:rPr>
                <w:rFonts w:asciiTheme="minorHAnsi" w:hAnsiTheme="minorHAnsi" w:cstheme="minorHAnsi"/>
                <w:noProof/>
                <w:sz w:val="22"/>
                <w:szCs w:val="22"/>
              </w:rPr>
              <w:t>sites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affected are currently booked at </w:t>
            </w:r>
            <w:r w:rsidR="00DA55DE">
              <w:rPr>
                <w:rFonts w:asciiTheme="minorHAnsi" w:hAnsiTheme="minorHAnsi" w:cstheme="minorHAnsi"/>
                <w:noProof/>
                <w:sz w:val="22"/>
                <w:szCs w:val="22"/>
              </w:rPr>
              <w:t>12</w:t>
            </w:r>
            <w:r w:rsidR="00976EE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per cent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capacity and they remain available to the gener</w:t>
            </w:r>
            <w:r w:rsidR="005B7B89">
              <w:rPr>
                <w:rFonts w:asciiTheme="minorHAnsi" w:hAnsiTheme="minorHAnsi" w:cstheme="minorHAnsi"/>
                <w:noProof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l public, when booked through</w:t>
            </w:r>
            <w:r w:rsidR="00DA55D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Kata and Belle.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3CD5C14F" w14:textId="77939ED5" w:rsidR="00051C7C" w:rsidRDefault="00DA55DE" w:rsidP="0056086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Moreover, glamping sites will increase camping oportunties for members of the public that previously have been unable to use the </w:t>
            </w:r>
            <w:r w:rsidR="00F87344">
              <w:rPr>
                <w:rFonts w:asciiTheme="minorHAnsi" w:hAnsiTheme="minorHAnsi" w:cstheme="minorHAnsi"/>
                <w:noProof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ational </w:t>
            </w:r>
            <w:r w:rsidR="00F87344">
              <w:rPr>
                <w:rFonts w:asciiTheme="minorHAnsi" w:hAnsiTheme="minorHAnsi" w:cstheme="minorHAnsi"/>
                <w:noProof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ark.</w:t>
            </w:r>
            <w:r w:rsidR="005B7B8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35A5E712" w14:textId="7B96C0D4" w:rsidR="00FF4F07" w:rsidRPr="008C76DF" w:rsidRDefault="00CF774C" w:rsidP="0056086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M</w:t>
            </w:r>
            <w:r w:rsidR="00A8625F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ore information</w:t>
            </w:r>
            <w:r w:rsidR="00F34B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relating to </w:t>
            </w:r>
            <w:r w:rsidR="00C75BC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="00F34B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number of campsites </w:t>
            </w:r>
            <w:r w:rsidR="008336FB">
              <w:rPr>
                <w:rFonts w:asciiTheme="minorHAnsi" w:hAnsiTheme="minorHAnsi" w:cstheme="minorHAnsi"/>
                <w:noProof/>
                <w:sz w:val="22"/>
                <w:szCs w:val="22"/>
              </w:rPr>
              <w:t>is</w:t>
            </w:r>
            <w:r w:rsidR="00FF4F0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B27182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avai</w:t>
            </w:r>
            <w:r w:rsidR="00C75BC9">
              <w:rPr>
                <w:rFonts w:asciiTheme="minorHAnsi" w:hAnsiTheme="minorHAnsi" w:cstheme="minorHAnsi"/>
                <w:noProof/>
                <w:sz w:val="22"/>
                <w:szCs w:val="22"/>
              </w:rPr>
              <w:t>l</w:t>
            </w:r>
            <w:r w:rsidR="00B27182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able </w:t>
            </w:r>
            <w:r w:rsidR="00A8625F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 </w:t>
            </w:r>
            <w:r w:rsidR="00C75BC9">
              <w:rPr>
                <w:rFonts w:asciiTheme="minorHAnsi" w:hAnsiTheme="minorHAnsi" w:cstheme="minorHAnsi"/>
                <w:noProof/>
                <w:sz w:val="22"/>
                <w:szCs w:val="22"/>
              </w:rPr>
              <w:t>the</w:t>
            </w:r>
            <w:r w:rsidR="00A8625F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hyperlink r:id="rId5" w:history="1">
              <w:r w:rsidR="007D5B20" w:rsidRPr="00B83182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 xml:space="preserve">proposal </w:t>
              </w:r>
              <w:r w:rsidR="00FF4F07" w:rsidRPr="00B83182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handout</w:t>
              </w:r>
            </w:hyperlink>
            <w:r w:rsidR="00B27182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8336F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and </w:t>
            </w:r>
            <w:r w:rsidR="00FF4F07" w:rsidRPr="00B8318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Frequently Asked Questions</w:t>
            </w:r>
            <w:r w:rsidR="00FF4F07"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</w:tr>
      <w:tr w:rsidR="00A8625F" w:rsidRPr="008C76DF" w14:paraId="2C786544" w14:textId="77777777" w:rsidTr="00521091">
        <w:trPr>
          <w:trHeight w:val="879"/>
        </w:trPr>
        <w:tc>
          <w:tcPr>
            <w:tcW w:w="1255" w:type="pct"/>
            <w:shd w:val="clear" w:color="auto" w:fill="auto"/>
          </w:tcPr>
          <w:p w14:paraId="2E1DC68A" w14:textId="77777777" w:rsidR="00A8625F" w:rsidRPr="00521091" w:rsidRDefault="00B51815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Commerical activity in </w:t>
            </w:r>
            <w:r w:rsidR="00A8625F" w:rsidRPr="00521091"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park</w:t>
            </w:r>
            <w:r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s</w:t>
            </w:r>
          </w:p>
        </w:tc>
        <w:tc>
          <w:tcPr>
            <w:tcW w:w="3745" w:type="pct"/>
            <w:shd w:val="clear" w:color="auto" w:fill="auto"/>
          </w:tcPr>
          <w:p w14:paraId="47565E25" w14:textId="75415420" w:rsidR="00B51815" w:rsidRDefault="00CE0B14" w:rsidP="0056086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46F7D">
              <w:rPr>
                <w:rFonts w:asciiTheme="minorHAnsi" w:hAnsiTheme="minorHAnsi" w:cstheme="minorHAnsi"/>
                <w:sz w:val="22"/>
                <w:szCs w:val="22"/>
              </w:rPr>
              <w:t>Feedback was received</w:t>
            </w:r>
            <w:r w:rsidR="008A1F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7668C41" w14:textId="34A48F96" w:rsidR="001D5374" w:rsidRPr="00B51815" w:rsidRDefault="008A1F84" w:rsidP="0056086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002F4">
              <w:rPr>
                <w:rFonts w:asciiTheme="minorHAnsi" w:hAnsiTheme="minorHAnsi" w:cstheme="minorHAnsi"/>
                <w:sz w:val="22"/>
                <w:szCs w:val="22"/>
              </w:rPr>
              <w:t xml:space="preserve">upporting </w:t>
            </w:r>
            <w:r w:rsidR="00D02073" w:rsidRPr="00B51815">
              <w:rPr>
                <w:rFonts w:asciiTheme="minorHAnsi" w:hAnsiTheme="minorHAnsi" w:cstheme="minorHAnsi"/>
                <w:sz w:val="22"/>
                <w:szCs w:val="22"/>
              </w:rPr>
              <w:t>the proposal to i</w:t>
            </w:r>
            <w:r w:rsidR="00CE0B14" w:rsidRPr="00B51815">
              <w:rPr>
                <w:rFonts w:asciiTheme="minorHAnsi" w:hAnsiTheme="minorHAnsi" w:cstheme="minorHAnsi"/>
                <w:sz w:val="22"/>
                <w:szCs w:val="22"/>
              </w:rPr>
              <w:t>ncrease</w:t>
            </w:r>
            <w:r w:rsidR="00720B72" w:rsidRPr="00B51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2C92" w:rsidRPr="00B51815">
              <w:rPr>
                <w:rFonts w:asciiTheme="minorHAnsi" w:hAnsiTheme="minorHAnsi" w:cstheme="minorHAnsi"/>
                <w:sz w:val="22"/>
                <w:szCs w:val="22"/>
              </w:rPr>
              <w:t>tourism</w:t>
            </w:r>
            <w:r w:rsidR="00A92570" w:rsidRPr="00B5181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12C92" w:rsidRPr="00B51815"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  <w:r w:rsidR="00A92570" w:rsidRPr="00B51815">
              <w:rPr>
                <w:rFonts w:asciiTheme="minorHAnsi" w:hAnsiTheme="minorHAnsi" w:cstheme="minorHAnsi"/>
                <w:sz w:val="22"/>
                <w:szCs w:val="22"/>
              </w:rPr>
              <w:t xml:space="preserve"> options in </w:t>
            </w:r>
            <w:r w:rsidR="00D46F7D" w:rsidRPr="00B51815">
              <w:rPr>
                <w:rFonts w:asciiTheme="minorHAnsi" w:hAnsiTheme="minorHAnsi" w:cstheme="minorHAnsi"/>
                <w:sz w:val="22"/>
                <w:szCs w:val="22"/>
              </w:rPr>
              <w:t>Lincoln National Park</w:t>
            </w:r>
            <w:r w:rsidR="0056086E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</w:p>
          <w:p w14:paraId="141F7926" w14:textId="77AEAF52" w:rsidR="00720B72" w:rsidRPr="00B51815" w:rsidRDefault="008A1F84" w:rsidP="0056086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51815">
              <w:rPr>
                <w:rFonts w:asciiTheme="minorHAnsi" w:hAnsiTheme="minorHAnsi" w:cstheme="minorHAnsi"/>
                <w:sz w:val="22"/>
                <w:szCs w:val="22"/>
              </w:rPr>
              <w:t>ais</w:t>
            </w:r>
            <w:r w:rsidR="004002F4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proofErr w:type="gramEnd"/>
            <w:r w:rsidR="004002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1815">
              <w:rPr>
                <w:rFonts w:asciiTheme="minorHAnsi" w:hAnsiTheme="minorHAnsi" w:cstheme="minorHAnsi"/>
                <w:sz w:val="22"/>
                <w:szCs w:val="22"/>
              </w:rPr>
              <w:t>concerns</w:t>
            </w:r>
            <w:r w:rsidR="002F38CC" w:rsidRPr="00B51815">
              <w:rPr>
                <w:rFonts w:asciiTheme="minorHAnsi" w:hAnsiTheme="minorHAnsi" w:cstheme="minorHAnsi"/>
                <w:sz w:val="22"/>
                <w:szCs w:val="22"/>
              </w:rPr>
              <w:t xml:space="preserve"> about </w:t>
            </w:r>
            <w:r w:rsidR="004002F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54F37">
              <w:rPr>
                <w:rFonts w:asciiTheme="minorHAnsi" w:hAnsiTheme="minorHAnsi" w:cstheme="minorHAnsi"/>
                <w:sz w:val="22"/>
                <w:szCs w:val="22"/>
              </w:rPr>
              <w:t xml:space="preserve">use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54F37">
              <w:rPr>
                <w:rFonts w:asciiTheme="minorHAnsi" w:hAnsiTheme="minorHAnsi" w:cstheme="minorHAnsi"/>
                <w:sz w:val="22"/>
                <w:szCs w:val="22"/>
              </w:rPr>
              <w:t xml:space="preserve">ational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54F37">
              <w:rPr>
                <w:rFonts w:asciiTheme="minorHAnsi" w:hAnsiTheme="minorHAnsi" w:cstheme="minorHAnsi"/>
                <w:sz w:val="22"/>
                <w:szCs w:val="22"/>
              </w:rPr>
              <w:t xml:space="preserve">arks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54F37">
              <w:rPr>
                <w:rFonts w:asciiTheme="minorHAnsi" w:hAnsiTheme="minorHAnsi" w:cstheme="minorHAnsi"/>
                <w:sz w:val="22"/>
                <w:szCs w:val="22"/>
              </w:rPr>
              <w:t xml:space="preserve">eserves </w:t>
            </w:r>
            <w:r w:rsidR="001D5374" w:rsidRPr="00B51815">
              <w:rPr>
                <w:rFonts w:asciiTheme="minorHAnsi" w:hAnsiTheme="minorHAnsi" w:cstheme="minorHAnsi"/>
                <w:sz w:val="22"/>
                <w:szCs w:val="22"/>
              </w:rPr>
              <w:t>(generally)</w:t>
            </w:r>
            <w:r w:rsidR="00D46F7D" w:rsidRPr="00B51815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="002F38CC" w:rsidRPr="00B51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5374" w:rsidRPr="00B51815">
              <w:rPr>
                <w:rFonts w:asciiTheme="minorHAnsi" w:hAnsiTheme="minorHAnsi" w:cstheme="minorHAnsi"/>
                <w:sz w:val="22"/>
                <w:szCs w:val="22"/>
              </w:rPr>
              <w:t>commercial</w:t>
            </w:r>
            <w:r w:rsidR="002F38CC" w:rsidRPr="00B51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6F7D" w:rsidRPr="00B51815"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  <w:r w:rsidR="002F38CC" w:rsidRPr="00B518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40900" w:rsidRPr="00B51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4A688" w14:textId="78C7A897" w:rsidR="00741542" w:rsidRDefault="002F38CC" w:rsidP="0056086E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8C76D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8266E">
              <w:rPr>
                <w:rFonts w:asciiTheme="minorHAnsi" w:hAnsiTheme="minorHAnsi"/>
                <w:sz w:val="22"/>
              </w:rPr>
              <w:t xml:space="preserve">State Government is committed to </w:t>
            </w:r>
            <w:r w:rsidR="004A6D69" w:rsidRPr="0018266E">
              <w:rPr>
                <w:rFonts w:asciiTheme="minorHAnsi" w:hAnsiTheme="minorHAnsi"/>
                <w:sz w:val="22"/>
              </w:rPr>
              <w:t>enabling</w:t>
            </w:r>
            <w:r w:rsidRPr="0018266E">
              <w:rPr>
                <w:rFonts w:asciiTheme="minorHAnsi" w:hAnsiTheme="minorHAnsi"/>
                <w:sz w:val="22"/>
              </w:rPr>
              <w:t xml:space="preserve"> eco-tourism opportunities in </w:t>
            </w:r>
            <w:r w:rsidR="008A1F84">
              <w:rPr>
                <w:rFonts w:asciiTheme="minorHAnsi" w:hAnsiTheme="minorHAnsi"/>
                <w:sz w:val="22"/>
              </w:rPr>
              <w:t>n</w:t>
            </w:r>
            <w:r w:rsidRPr="0018266E">
              <w:rPr>
                <w:rFonts w:asciiTheme="minorHAnsi" w:hAnsiTheme="minorHAnsi"/>
                <w:sz w:val="22"/>
              </w:rPr>
              <w:t xml:space="preserve">ational </w:t>
            </w:r>
            <w:r w:rsidR="008A1F8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C76DF">
              <w:rPr>
                <w:rFonts w:asciiTheme="minorHAnsi" w:hAnsiTheme="minorHAnsi" w:cstheme="minorHAnsi"/>
                <w:sz w:val="22"/>
                <w:szCs w:val="22"/>
              </w:rPr>
              <w:t>arks</w:t>
            </w:r>
            <w:r w:rsidR="007C4650">
              <w:rPr>
                <w:rFonts w:asciiTheme="minorHAnsi" w:hAnsiTheme="minorHAnsi" w:cstheme="minorHAnsi"/>
                <w:sz w:val="22"/>
                <w:szCs w:val="22"/>
              </w:rPr>
              <w:t xml:space="preserve">. The </w:t>
            </w:r>
            <w:r w:rsidR="00976EEA">
              <w:rPr>
                <w:rFonts w:asciiTheme="minorHAnsi" w:hAnsiTheme="minorHAnsi" w:cstheme="minorHAnsi"/>
                <w:sz w:val="22"/>
                <w:szCs w:val="22"/>
              </w:rPr>
              <w:t xml:space="preserve">aim </w:t>
            </w:r>
            <w:r w:rsidR="007C4650">
              <w:rPr>
                <w:rFonts w:asciiTheme="minorHAnsi" w:hAnsiTheme="minorHAnsi" w:cstheme="minorHAnsi"/>
                <w:sz w:val="22"/>
                <w:szCs w:val="22"/>
              </w:rPr>
              <w:t>of this commitment is</w:t>
            </w:r>
            <w:r w:rsidR="007415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1542">
              <w:rPr>
                <w:rFonts w:asciiTheme="minorHAnsi" w:hAnsiTheme="minorHAnsi"/>
                <w:sz w:val="22"/>
              </w:rPr>
              <w:t xml:space="preserve">to drive tourism in South Australia by creating greater opportunities for private operators to </w:t>
            </w:r>
            <w:r w:rsidR="00DA55DE" w:rsidRPr="003E1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invest</w:t>
            </w:r>
            <w:r w:rsidRPr="00252DCD">
              <w:rPr>
                <w:rFonts w:asciiTheme="minorHAnsi" w:hAnsiTheme="minorHAnsi"/>
                <w:sz w:val="22"/>
              </w:rPr>
              <w:t xml:space="preserve"> in </w:t>
            </w:r>
            <w:r w:rsidR="008A1F8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C76DF">
              <w:rPr>
                <w:rFonts w:asciiTheme="minorHAnsi" w:hAnsiTheme="minorHAnsi" w:cstheme="minorHAnsi"/>
                <w:sz w:val="22"/>
                <w:szCs w:val="22"/>
              </w:rPr>
              <w:t xml:space="preserve">ational </w:t>
            </w:r>
            <w:r w:rsidR="008A1F8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C76DF">
              <w:rPr>
                <w:rFonts w:asciiTheme="minorHAnsi" w:hAnsiTheme="minorHAnsi" w:cstheme="minorHAnsi"/>
                <w:sz w:val="22"/>
                <w:szCs w:val="22"/>
              </w:rPr>
              <w:t xml:space="preserve">arks </w:t>
            </w:r>
            <w:r w:rsidRPr="0018266E">
              <w:rPr>
                <w:rFonts w:asciiTheme="minorHAnsi" w:hAnsiTheme="minorHAnsi"/>
                <w:sz w:val="22"/>
              </w:rPr>
              <w:t xml:space="preserve">and </w:t>
            </w:r>
            <w:r w:rsidR="008A1F8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8266E">
              <w:rPr>
                <w:rFonts w:asciiTheme="minorHAnsi" w:hAnsiTheme="minorHAnsi"/>
                <w:sz w:val="22"/>
              </w:rPr>
              <w:t>eserves.</w:t>
            </w:r>
          </w:p>
          <w:p w14:paraId="5258B14D" w14:textId="781C6129" w:rsidR="0089398C" w:rsidRPr="008C76DF" w:rsidRDefault="0089398C" w:rsidP="008939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6DF">
              <w:rPr>
                <w:rFonts w:asciiTheme="minorHAnsi" w:hAnsiTheme="minorHAnsi" w:cstheme="minorHAnsi"/>
                <w:sz w:val="22"/>
                <w:szCs w:val="22"/>
              </w:rPr>
              <w:t xml:space="preserve">The initiative is part of a long-term strategy to enhance park visitor experiences by providing improved attractions, services, access and facilities in national parks. </w:t>
            </w:r>
          </w:p>
          <w:p w14:paraId="115EC728" w14:textId="166983B1" w:rsidR="00C75BC9" w:rsidRPr="008C76DF" w:rsidRDefault="002F38CC" w:rsidP="0056086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C76D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 Australia, the nature-based tourism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C76D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sector contributes an estimated</w:t>
            </w:r>
            <w:r w:rsidR="005608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C76D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$23 billion to the economy each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C76D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year. Nature-based tourism employs</w:t>
            </w:r>
            <w:r w:rsidR="00E417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C76D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significant number of people, and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C76D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produces enormous flow-on benefits to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C76D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the South Australian economy.</w:t>
            </w:r>
          </w:p>
          <w:p w14:paraId="0A249005" w14:textId="52F9A81D" w:rsidR="00421BF9" w:rsidRPr="0056086E" w:rsidRDefault="00D02073" w:rsidP="0056086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608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Tourism investment in </w:t>
            </w:r>
            <w:r w:rsidR="008A1F84" w:rsidRPr="005608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parks</w:t>
            </w:r>
            <w:r w:rsidRPr="005608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can make a genuine contribution to sustainable growth and regional jobs.</w:t>
            </w:r>
            <w:r w:rsidR="00421BF9" w:rsidRPr="005608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Regional tourism generates more than 40</w:t>
            </w:r>
            <w:r w:rsidR="00976EEA" w:rsidRPr="005608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per cent</w:t>
            </w:r>
            <w:r w:rsidR="00421BF9" w:rsidRPr="005608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of South Australia’s visitor revenue. </w:t>
            </w:r>
          </w:p>
          <w:p w14:paraId="57CE1120" w14:textId="5DF10A60" w:rsidR="00252DCD" w:rsidRPr="008C1AE8" w:rsidRDefault="00724A14" w:rsidP="0056086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E1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Nature experiences are proven to have beneficial health </w:t>
            </w:r>
            <w:r w:rsidR="00881FB5" w:rsidRPr="003E1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effects</w:t>
            </w:r>
            <w:r w:rsidR="00881FB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such</w:t>
            </w:r>
            <w:r w:rsidR="008A1F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as</w:t>
            </w:r>
            <w:r w:rsidR="00252DCD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encourag</w:t>
            </w:r>
            <w:r w:rsidR="00252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ing</w:t>
            </w:r>
            <w:r w:rsidR="00252DCD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52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increased physical activity and enabling</w:t>
            </w:r>
            <w:r w:rsidR="00252DCD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psychological </w:t>
            </w:r>
            <w:r w:rsidR="00252DCD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connections to nature</w:t>
            </w:r>
            <w:r w:rsidR="00254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252DCD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A1F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These effects are</w:t>
            </w:r>
            <w:r w:rsidR="00252DCD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608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also </w:t>
            </w:r>
            <w:r w:rsidR="00252DCD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proven to be beneficial to support</w:t>
            </w:r>
            <w:r w:rsidR="00254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ing</w:t>
            </w:r>
            <w:r w:rsidR="00252DCD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conservation.</w:t>
            </w:r>
            <w:r w:rsidR="00252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C3BCDF5" w14:textId="12A756D2" w:rsidR="00724A14" w:rsidRDefault="00252DCD" w:rsidP="0056086E">
            <w:pPr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Wi</w:t>
            </w:r>
            <w:r w:rsidR="00724A14" w:rsidRPr="003E1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lderness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24A14" w:rsidRPr="003E1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rotection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724A14" w:rsidRPr="003E1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reas,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724A14" w:rsidRPr="003E1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ational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24A14" w:rsidRPr="003E1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arks and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724A14" w:rsidRPr="003E1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arine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24A14" w:rsidRPr="007C46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arks are afforded the highest level of legal protection. They will continue to be protected under state legislation and managed with a strong focus on conservation.</w:t>
            </w:r>
          </w:p>
          <w:p w14:paraId="52B02A50" w14:textId="3AFBDCD9" w:rsidR="0043488C" w:rsidRPr="00607163" w:rsidRDefault="00724A14" w:rsidP="0056086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7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assessing nature</w:t>
            </w:r>
            <w:r w:rsidR="008A1F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07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based tourism proposals the Department considers the economic, social and enviro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nmental benefits of the proposal.</w:t>
            </w:r>
          </w:p>
          <w:p w14:paraId="74558144" w14:textId="2910A87A" w:rsidR="008A1F84" w:rsidRDefault="00550CEC" w:rsidP="0056086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This</w:t>
            </w:r>
            <w:r w:rsidR="00607163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84C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commercial partnership </w:t>
            </w:r>
            <w:r w:rsidR="00C75BC9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="00C75B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ill</w:t>
            </w:r>
            <w:r w:rsidR="00C75BC9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07163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increase the current accommodation offering at the park</w:t>
            </w:r>
            <w:r w:rsidR="00C75B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and open the park up to a different segment of the community that would otherwise not use the facilities</w:t>
            </w:r>
            <w:r w:rsidR="00607163" w:rsidRPr="00BD6F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 </w:t>
            </w:r>
          </w:p>
          <w:p w14:paraId="5278E1BD" w14:textId="4428B1E1" w:rsidR="00254F37" w:rsidRDefault="00873E2F" w:rsidP="0056086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3E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More information</w:t>
            </w:r>
            <w:r w:rsidR="00254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7FAFD2B" w14:textId="545E607D" w:rsidR="00873E2F" w:rsidRPr="00254F37" w:rsidRDefault="00254F37" w:rsidP="0056086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State G</w:t>
            </w:r>
            <w:r w:rsidR="00873E2F" w:rsidRPr="00254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overnment’s </w:t>
            </w:r>
            <w:r w:rsidR="00E05160" w:rsidRPr="00254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ecotourism </w:t>
            </w:r>
            <w:hyperlink r:id="rId6" w:history="1">
              <w:r w:rsidR="00873E2F" w:rsidRPr="00254F3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election commitments</w:t>
              </w:r>
            </w:hyperlink>
          </w:p>
          <w:p w14:paraId="72CF5161" w14:textId="4F4220D0" w:rsidR="00873E2F" w:rsidRPr="00254F37" w:rsidRDefault="00873E2F" w:rsidP="0056086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Department for </w:t>
            </w:r>
            <w:r w:rsidR="00976EEA" w:rsidRPr="00E04B8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Environment and Water</w:t>
            </w:r>
            <w:r w:rsidR="00976E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’s</w:t>
            </w:r>
            <w:r w:rsidR="00976EEA" w:rsidRPr="00E04B8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hyperlink r:id="rId7" w:history="1">
              <w:r w:rsidR="00976EEA" w:rsidRPr="00976EE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Nature-based Tourism Plan</w:t>
              </w:r>
            </w:hyperlink>
            <w:r w:rsidR="00976EEA" w:rsidRPr="00976EEA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  <w:r w:rsidR="00E05160" w:rsidRPr="00254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671F2B2" w14:textId="3E51F328" w:rsidR="00FF4F07" w:rsidRPr="008C76DF" w:rsidRDefault="00FF4F07" w:rsidP="0056086E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>More information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relating to this</w:t>
            </w:r>
            <w:r w:rsidR="008336F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254F37">
              <w:rPr>
                <w:rFonts w:asciiTheme="minorHAnsi" w:hAnsiTheme="minorHAnsi" w:cstheme="minorHAnsi"/>
                <w:noProof/>
                <w:sz w:val="22"/>
                <w:szCs w:val="22"/>
              </w:rPr>
              <w:t>proposal specifi</w:t>
            </w:r>
            <w:r w:rsidR="00976EEA">
              <w:rPr>
                <w:rFonts w:asciiTheme="minorHAnsi" w:hAnsiTheme="minorHAnsi" w:cstheme="minorHAnsi"/>
                <w:noProof/>
                <w:sz w:val="22"/>
                <w:szCs w:val="22"/>
              </w:rPr>
              <w:t>c</w:t>
            </w:r>
            <w:r w:rsidR="00254F37">
              <w:rPr>
                <w:rFonts w:asciiTheme="minorHAnsi" w:hAnsiTheme="minorHAnsi" w:cstheme="minorHAnsi"/>
                <w:noProof/>
                <w:sz w:val="22"/>
                <w:szCs w:val="22"/>
              </w:rPr>
              <w:t>ally is avai</w:t>
            </w:r>
            <w:r w:rsidR="00976EEA">
              <w:rPr>
                <w:rFonts w:asciiTheme="minorHAnsi" w:hAnsiTheme="minorHAnsi" w:cstheme="minorHAnsi"/>
                <w:noProof/>
                <w:sz w:val="22"/>
                <w:szCs w:val="22"/>
              </w:rPr>
              <w:t>l</w:t>
            </w:r>
            <w:r w:rsidR="00254F37">
              <w:rPr>
                <w:rFonts w:asciiTheme="minorHAnsi" w:hAnsiTheme="minorHAnsi" w:cstheme="minorHAnsi"/>
                <w:noProof/>
                <w:sz w:val="22"/>
                <w:szCs w:val="22"/>
              </w:rPr>
              <w:t>able in t</w:t>
            </w:r>
            <w:r w:rsidRPr="008C76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he </w:t>
            </w:r>
            <w:r w:rsidRPr="00B8318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Freq</w:t>
            </w:r>
            <w:r w:rsidR="00E04B8F" w:rsidRPr="00B8318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uently Asked Questions</w:t>
            </w:r>
            <w:r w:rsidR="008336F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and proposal </w:t>
            </w:r>
            <w:hyperlink r:id="rId8" w:history="1">
              <w:r w:rsidR="008336FB" w:rsidRPr="00B83182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information handout</w:t>
              </w:r>
            </w:hyperlink>
            <w:r w:rsidR="00254F37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</w:tr>
      <w:tr w:rsidR="00A8625F" w:rsidRPr="008C76DF" w14:paraId="6A4DDDAA" w14:textId="77777777" w:rsidTr="00521091">
        <w:trPr>
          <w:trHeight w:val="466"/>
        </w:trPr>
        <w:tc>
          <w:tcPr>
            <w:tcW w:w="1255" w:type="pct"/>
            <w:shd w:val="clear" w:color="auto" w:fill="auto"/>
          </w:tcPr>
          <w:p w14:paraId="21D1A9F0" w14:textId="36F1A687" w:rsidR="00A8625F" w:rsidRPr="00521091" w:rsidRDefault="00A8625F" w:rsidP="0056086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109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Development </w:t>
            </w:r>
            <w:r w:rsidR="008A1F8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</w:t>
            </w:r>
            <w:r w:rsidRPr="0052109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rocess</w:t>
            </w:r>
          </w:p>
        </w:tc>
        <w:tc>
          <w:tcPr>
            <w:tcW w:w="3745" w:type="pct"/>
            <w:shd w:val="clear" w:color="auto" w:fill="auto"/>
          </w:tcPr>
          <w:p w14:paraId="03711390" w14:textId="204073CC" w:rsidR="00AB4E31" w:rsidRPr="009A4C68" w:rsidRDefault="00AB4E31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9A4C6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DEW is seeking confirmation from the relevant planning authority with regard to</w:t>
            </w:r>
            <w:bookmarkStart w:id="0" w:name="_GoBack"/>
            <w:bookmarkEnd w:id="0"/>
            <w:r w:rsidRPr="009A4C6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the planning pathway </w:t>
            </w:r>
            <w:r w:rsidR="008336FB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applicable to this</w:t>
            </w:r>
            <w:r w:rsidRPr="009A4C6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proposal.  </w:t>
            </w:r>
          </w:p>
          <w:p w14:paraId="240837B5" w14:textId="7397458B" w:rsidR="00A8625F" w:rsidRPr="009A4C68" w:rsidRDefault="009A4C68" w:rsidP="0056086E">
            <w:pPr>
              <w:pStyle w:val="cefparared"/>
              <w:spacing w:before="120" w:after="120"/>
              <w:rPr>
                <w:rFonts w:asciiTheme="minorHAnsi" w:eastAsiaTheme="minorHAnsi" w:hAnsiTheme="minorHAnsi" w:cstheme="minorHAnsi"/>
                <w:color w:val="000000"/>
                <w:lang w:eastAsia="en-US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P</w:t>
            </w:r>
            <w:r w:rsidR="00AB4E31" w:rsidRPr="009A4C6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reliminary advice from the Native Vegetation Unit suggests that minimal to no clearance will be required. The scale of potential native veg</w:t>
            </w:r>
            <w:r w:rsidR="0019249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etation</w:t>
            </w:r>
            <w:r w:rsidR="00AB4E31" w:rsidRPr="009A4C6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clearance is unlikely to trigger </w:t>
            </w:r>
            <w:r w:rsidR="00724A14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a</w:t>
            </w:r>
            <w:r w:rsidR="00AB4E31" w:rsidRPr="009A4C6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public consultation process.</w:t>
            </w:r>
            <w:r w:rsidR="00AB4E31" w:rsidRPr="009A4C68">
              <w:rPr>
                <w:rFonts w:asciiTheme="minorHAnsi" w:eastAsiaTheme="minorHAnsi" w:hAnsiTheme="minorHAnsi" w:cstheme="minorHAnsi"/>
                <w:color w:val="000000"/>
                <w:lang w:eastAsia="en-US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</w:t>
            </w:r>
          </w:p>
        </w:tc>
      </w:tr>
      <w:tr w:rsidR="00A8625F" w:rsidRPr="008C76DF" w14:paraId="7A20B807" w14:textId="77777777" w:rsidTr="00521091">
        <w:trPr>
          <w:trHeight w:val="466"/>
        </w:trPr>
        <w:tc>
          <w:tcPr>
            <w:tcW w:w="1255" w:type="pct"/>
            <w:shd w:val="clear" w:color="auto" w:fill="auto"/>
          </w:tcPr>
          <w:p w14:paraId="483DA477" w14:textId="6F8E5026" w:rsidR="00A8625F" w:rsidRPr="00521091" w:rsidRDefault="00A8625F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521091"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Donington </w:t>
            </w:r>
            <w:r w:rsidR="008A1F84"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C</w:t>
            </w:r>
            <w:r w:rsidRPr="00521091"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ottage lease</w:t>
            </w:r>
          </w:p>
        </w:tc>
        <w:tc>
          <w:tcPr>
            <w:tcW w:w="3745" w:type="pct"/>
            <w:shd w:val="clear" w:color="auto" w:fill="auto"/>
          </w:tcPr>
          <w:p w14:paraId="7FDB3DAC" w14:textId="05C9EC5F" w:rsidR="00A8625F" w:rsidRDefault="00A8625F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Responses were</w:t>
            </w:r>
            <w:r w:rsidR="00B1608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</w:t>
            </w:r>
            <w:r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supportive </w:t>
            </w:r>
            <w:r w:rsidR="008336FB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of </w:t>
            </w:r>
            <w:r w:rsidR="00C3141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the cottage being managed by Kata and Belle. </w:t>
            </w:r>
          </w:p>
          <w:p w14:paraId="18D9E486" w14:textId="00A1DF27" w:rsidR="00C31411" w:rsidRPr="008C76DF" w:rsidRDefault="00C31411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Local interest groups raised interest in</w:t>
            </w:r>
            <w:r w:rsidR="009D78E9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being able to continue current use </w:t>
            </w:r>
            <w:r w:rsidR="009D78E9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of the cottage to </w:t>
            </w:r>
            <w:r w:rsidR="00934F7A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support</w:t>
            </w:r>
            <w:r w:rsidR="009D78E9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their activites.  </w:t>
            </w:r>
            <w:r w:rsidR="00724A14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DEW will facilitate suitable arrangements to support intere</w:t>
            </w:r>
            <w:r w:rsidR="008336FB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st</w:t>
            </w:r>
            <w:r w:rsidR="00724A14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groups and the proponent.</w:t>
            </w:r>
          </w:p>
        </w:tc>
      </w:tr>
      <w:tr w:rsidR="00A8625F" w:rsidRPr="008C76DF" w14:paraId="669BBFA3" w14:textId="77777777" w:rsidTr="00521091">
        <w:trPr>
          <w:trHeight w:val="558"/>
        </w:trPr>
        <w:tc>
          <w:tcPr>
            <w:tcW w:w="1255" w:type="pct"/>
          </w:tcPr>
          <w:p w14:paraId="5440CC18" w14:textId="77777777" w:rsidR="00A8625F" w:rsidRPr="00521091" w:rsidRDefault="00F75611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521091"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Feedback </w:t>
            </w:r>
            <w:r w:rsidR="00B1608F" w:rsidRPr="00521091"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received about other issues (not the proposal) </w:t>
            </w:r>
            <w:r w:rsidR="00A8625F" w:rsidRPr="00521091">
              <w:rPr>
                <w:rFonts w:asciiTheme="minorHAnsi" w:hAnsiTheme="minorHAnsi" w:cstheme="minorHAnsi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3745" w:type="pct"/>
          </w:tcPr>
          <w:p w14:paraId="54E28FC1" w14:textId="77777777" w:rsidR="00A8625F" w:rsidRPr="008C76DF" w:rsidRDefault="00A8625F" w:rsidP="0056086E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Feedback provided relating to:</w:t>
            </w:r>
          </w:p>
          <w:p w14:paraId="12B1D38E" w14:textId="77E1BB9C" w:rsidR="00A8625F" w:rsidRPr="008C76DF" w:rsidRDefault="008A1F84" w:rsidP="0056086E">
            <w:pPr>
              <w:pStyle w:val="cefparared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t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he Nature-based To</w:t>
            </w:r>
            <w:r w:rsidR="0019249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ur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ism </w:t>
            </w:r>
            <w:r w:rsidR="0056086E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expresssion of i</w:t>
            </w:r>
            <w:r w:rsidR="008336FB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nterest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process ha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s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been provided to the 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p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roject 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anager.</w:t>
            </w:r>
          </w:p>
          <w:p w14:paraId="4B0DAC67" w14:textId="112B7B87" w:rsidR="00A8625F" w:rsidRPr="008C76DF" w:rsidRDefault="008A1F84" w:rsidP="0056086E">
            <w:pPr>
              <w:pStyle w:val="cefparared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o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ther issues raised </w:t>
            </w:r>
            <w:r w:rsidR="0019249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have 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been forwarded to the appropr</w:t>
            </w:r>
            <w:r w:rsidR="0019249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ia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te group within the Department</w:t>
            </w:r>
            <w:r w:rsidR="0056086E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or applicable agency</w:t>
            </w:r>
            <w:r w:rsidR="00A8625F" w:rsidRPr="008C76D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. </w:t>
            </w:r>
          </w:p>
        </w:tc>
      </w:tr>
    </w:tbl>
    <w:p w14:paraId="0013B05A" w14:textId="77777777" w:rsidR="00A8625F" w:rsidRPr="008C76DF" w:rsidRDefault="00A8625F">
      <w:pPr>
        <w:rPr>
          <w:rFonts w:asciiTheme="minorHAnsi" w:hAnsiTheme="minorHAnsi" w:cstheme="minorHAnsi"/>
          <w:sz w:val="22"/>
          <w:szCs w:val="22"/>
        </w:rPr>
      </w:pPr>
    </w:p>
    <w:sectPr w:rsidR="00A8625F" w:rsidRPr="008C76DF" w:rsidSect="00995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69E"/>
    <w:multiLevelType w:val="hybridMultilevel"/>
    <w:tmpl w:val="92AC6E82"/>
    <w:lvl w:ilvl="0" w:tplc="C1DCAA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19A"/>
    <w:multiLevelType w:val="hybridMultilevel"/>
    <w:tmpl w:val="D272D5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626D"/>
    <w:multiLevelType w:val="hybridMultilevel"/>
    <w:tmpl w:val="B76E6642"/>
    <w:lvl w:ilvl="0" w:tplc="E438CE5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16884"/>
    <w:multiLevelType w:val="hybridMultilevel"/>
    <w:tmpl w:val="9A9E4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83"/>
    <w:rsid w:val="00025D7C"/>
    <w:rsid w:val="00036776"/>
    <w:rsid w:val="00043045"/>
    <w:rsid w:val="00051C7C"/>
    <w:rsid w:val="000B72DA"/>
    <w:rsid w:val="000C0883"/>
    <w:rsid w:val="000E5C3C"/>
    <w:rsid w:val="00117982"/>
    <w:rsid w:val="001319CD"/>
    <w:rsid w:val="00171A5F"/>
    <w:rsid w:val="0018266E"/>
    <w:rsid w:val="00192498"/>
    <w:rsid w:val="001B2122"/>
    <w:rsid w:val="001C7167"/>
    <w:rsid w:val="001D422D"/>
    <w:rsid w:val="001D5374"/>
    <w:rsid w:val="0020099D"/>
    <w:rsid w:val="00252DCD"/>
    <w:rsid w:val="00254F37"/>
    <w:rsid w:val="002977E0"/>
    <w:rsid w:val="002A02CC"/>
    <w:rsid w:val="002A1411"/>
    <w:rsid w:val="002F38CC"/>
    <w:rsid w:val="00353AE3"/>
    <w:rsid w:val="0036141A"/>
    <w:rsid w:val="00386773"/>
    <w:rsid w:val="003E15A9"/>
    <w:rsid w:val="004002F4"/>
    <w:rsid w:val="00421BF9"/>
    <w:rsid w:val="0043488C"/>
    <w:rsid w:val="0049357D"/>
    <w:rsid w:val="004A6D69"/>
    <w:rsid w:val="004B39CF"/>
    <w:rsid w:val="004C7023"/>
    <w:rsid w:val="00505FAF"/>
    <w:rsid w:val="00512C92"/>
    <w:rsid w:val="00521091"/>
    <w:rsid w:val="00550CEC"/>
    <w:rsid w:val="0056086E"/>
    <w:rsid w:val="00564BD6"/>
    <w:rsid w:val="0059020E"/>
    <w:rsid w:val="005A2933"/>
    <w:rsid w:val="005B16CC"/>
    <w:rsid w:val="005B7B89"/>
    <w:rsid w:val="005C4076"/>
    <w:rsid w:val="00607163"/>
    <w:rsid w:val="006572D4"/>
    <w:rsid w:val="00684C18"/>
    <w:rsid w:val="006E6199"/>
    <w:rsid w:val="00720B72"/>
    <w:rsid w:val="00724A14"/>
    <w:rsid w:val="00741542"/>
    <w:rsid w:val="00741B76"/>
    <w:rsid w:val="00751815"/>
    <w:rsid w:val="00752B48"/>
    <w:rsid w:val="00782256"/>
    <w:rsid w:val="007B174E"/>
    <w:rsid w:val="007B2034"/>
    <w:rsid w:val="007C4650"/>
    <w:rsid w:val="007D5B20"/>
    <w:rsid w:val="007F61D2"/>
    <w:rsid w:val="008336FB"/>
    <w:rsid w:val="008500FF"/>
    <w:rsid w:val="008522EC"/>
    <w:rsid w:val="00873E2F"/>
    <w:rsid w:val="00881FB5"/>
    <w:rsid w:val="00887815"/>
    <w:rsid w:val="0089398C"/>
    <w:rsid w:val="008A1F84"/>
    <w:rsid w:val="008C1AE8"/>
    <w:rsid w:val="008C76DF"/>
    <w:rsid w:val="008C78CE"/>
    <w:rsid w:val="00934F7A"/>
    <w:rsid w:val="0094187C"/>
    <w:rsid w:val="0094397A"/>
    <w:rsid w:val="00950009"/>
    <w:rsid w:val="00976EEA"/>
    <w:rsid w:val="00995CEE"/>
    <w:rsid w:val="00997A4A"/>
    <w:rsid w:val="009A3692"/>
    <w:rsid w:val="009A4C68"/>
    <w:rsid w:val="009D5C01"/>
    <w:rsid w:val="009D78E9"/>
    <w:rsid w:val="00A01E13"/>
    <w:rsid w:val="00A821BD"/>
    <w:rsid w:val="00A8625F"/>
    <w:rsid w:val="00A92570"/>
    <w:rsid w:val="00A92B3A"/>
    <w:rsid w:val="00AB4E31"/>
    <w:rsid w:val="00AC259F"/>
    <w:rsid w:val="00AC4F7D"/>
    <w:rsid w:val="00AE1F2E"/>
    <w:rsid w:val="00B1608F"/>
    <w:rsid w:val="00B27182"/>
    <w:rsid w:val="00B51815"/>
    <w:rsid w:val="00B775AC"/>
    <w:rsid w:val="00B83182"/>
    <w:rsid w:val="00BC31E7"/>
    <w:rsid w:val="00BC3F09"/>
    <w:rsid w:val="00BD6F36"/>
    <w:rsid w:val="00BD7BF1"/>
    <w:rsid w:val="00BF2B31"/>
    <w:rsid w:val="00C12E93"/>
    <w:rsid w:val="00C31411"/>
    <w:rsid w:val="00C73AED"/>
    <w:rsid w:val="00C75BC9"/>
    <w:rsid w:val="00CA7C54"/>
    <w:rsid w:val="00CD284A"/>
    <w:rsid w:val="00CE0B14"/>
    <w:rsid w:val="00CE367C"/>
    <w:rsid w:val="00CF774C"/>
    <w:rsid w:val="00D02073"/>
    <w:rsid w:val="00D02C01"/>
    <w:rsid w:val="00D25DEE"/>
    <w:rsid w:val="00D46F7D"/>
    <w:rsid w:val="00D84288"/>
    <w:rsid w:val="00D93433"/>
    <w:rsid w:val="00DA55DE"/>
    <w:rsid w:val="00DF5C46"/>
    <w:rsid w:val="00E04B8F"/>
    <w:rsid w:val="00E05160"/>
    <w:rsid w:val="00E40900"/>
    <w:rsid w:val="00E4175D"/>
    <w:rsid w:val="00E460D9"/>
    <w:rsid w:val="00E711A5"/>
    <w:rsid w:val="00F0679E"/>
    <w:rsid w:val="00F34BCF"/>
    <w:rsid w:val="00F53247"/>
    <w:rsid w:val="00F75611"/>
    <w:rsid w:val="00F87344"/>
    <w:rsid w:val="00F95497"/>
    <w:rsid w:val="00FC198A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CAB6"/>
  <w15:chartTrackingRefBased/>
  <w15:docId w15:val="{C7339116-B51A-4A6F-86A8-6BB43C5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parared">
    <w:name w:val="cef para red"/>
    <w:basedOn w:val="Normal"/>
    <w:link w:val="cefpararedChar"/>
    <w:rsid w:val="00D84288"/>
    <w:pPr>
      <w:tabs>
        <w:tab w:val="left" w:pos="-3060"/>
        <w:tab w:val="left" w:pos="-2340"/>
        <w:tab w:val="left" w:pos="6300"/>
      </w:tabs>
      <w:suppressAutoHyphens/>
      <w:spacing w:after="160"/>
    </w:pPr>
    <w:rPr>
      <w:rFonts w:ascii="Calibri Light" w:hAnsi="Calibri Light" w:cs="Arial"/>
      <w:b/>
      <w:noProof/>
      <w:color w:val="FF0000"/>
      <w:sz w:val="22"/>
      <w:szCs w:val="22"/>
      <w14:textFill>
        <w14:solidFill>
          <w14:srgbClr w14:val="FF0000">
            <w14:lumMod w14:val="95000"/>
          </w14:srgbClr>
        </w14:solidFill>
      </w14:textFill>
    </w:rPr>
  </w:style>
  <w:style w:type="character" w:customStyle="1" w:styleId="cefpararedChar">
    <w:name w:val="cef para red Char"/>
    <w:link w:val="cefparared"/>
    <w:rsid w:val="00D84288"/>
    <w:rPr>
      <w:rFonts w:ascii="Calibri Light" w:eastAsia="Times New Roman" w:hAnsi="Calibri Light" w:cs="Arial"/>
      <w:b/>
      <w:noProof/>
      <w:color w:val="FF0000"/>
      <w:lang w:eastAsia="en-AU"/>
      <w14:textFill>
        <w14:solidFill>
          <w14:srgbClr w14:val="FF0000">
            <w14:lumMod w14:val="95000"/>
          </w14:srgbClr>
        </w14:solidFill>
      </w14:textFill>
    </w:rPr>
  </w:style>
  <w:style w:type="table" w:styleId="TableGrid">
    <w:name w:val="Table Grid"/>
    <w:basedOn w:val="TableNormal"/>
    <w:uiPriority w:val="59"/>
    <w:rsid w:val="00D8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1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D6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D6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69"/>
    <w:rPr>
      <w:rFonts w:ascii="Segoe UI" w:eastAsia="Times New Roman" w:hAnsi="Segoe UI" w:cs="Segoe UI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25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s.sa.gov.au/files/sharedassets/parks/nbt/9558120_bsa_lincolnnp_nbt_glamping_a3_v10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vironment.sa.gov.au/topics/park-management/state-wide-park-strategies/nature-based-tourism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ongplan.com.au/policy/creating-eco-tourism-opportunities/" TargetMode="External"/><Relationship Id="rId5" Type="http://schemas.openxmlformats.org/officeDocument/2006/relationships/hyperlink" Target="https://www.parks.sa.gov.au/files/sharedassets/parks/nbt/9558120_bsa_lincolnnp_nbt_glamping_a3_v10_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Grbich</dc:creator>
  <cp:keywords/>
  <dc:description/>
  <cp:lastModifiedBy>Yani Grbich</cp:lastModifiedBy>
  <cp:revision>11</cp:revision>
  <dcterms:created xsi:type="dcterms:W3CDTF">2019-06-07T04:20:00Z</dcterms:created>
  <dcterms:modified xsi:type="dcterms:W3CDTF">2019-06-07T07:05:00Z</dcterms:modified>
</cp:coreProperties>
</file>